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09" w:rsidRPr="00834989" w:rsidRDefault="00294F09" w:rsidP="00587B72">
      <w:pPr>
        <w:spacing w:after="0" w:line="360" w:lineRule="auto"/>
        <w:jc w:val="both"/>
        <w:rPr>
          <w:rFonts w:ascii="Times New Roman" w:hAnsi="Times New Roman" w:cs="Times New Roman"/>
          <w:sz w:val="24"/>
          <w:szCs w:val="24"/>
        </w:rPr>
      </w:pPr>
      <w:bookmarkStart w:id="0" w:name="_GoBack"/>
      <w:bookmarkEnd w:id="0"/>
      <w:r w:rsidRPr="00834989">
        <w:rPr>
          <w:rFonts w:ascii="Times New Roman" w:hAnsi="Times New Roman" w:cs="Times New Roman"/>
          <w:sz w:val="24"/>
          <w:szCs w:val="24"/>
        </w:rPr>
        <w:t>Uniwersytet Zielonogórski</w:t>
      </w:r>
    </w:p>
    <w:p w:rsidR="00294F09" w:rsidRPr="00834989" w:rsidRDefault="00294F09" w:rsidP="00587B72">
      <w:pPr>
        <w:spacing w:after="0" w:line="360" w:lineRule="auto"/>
        <w:jc w:val="both"/>
        <w:rPr>
          <w:rFonts w:ascii="Times New Roman" w:hAnsi="Times New Roman" w:cs="Times New Roman"/>
          <w:sz w:val="24"/>
          <w:szCs w:val="24"/>
        </w:rPr>
      </w:pPr>
      <w:r w:rsidRPr="00834989">
        <w:rPr>
          <w:rFonts w:ascii="Times New Roman" w:hAnsi="Times New Roman" w:cs="Times New Roman"/>
          <w:sz w:val="24"/>
          <w:szCs w:val="24"/>
        </w:rPr>
        <w:t>Instytut Nauk o Polityce i Administracji</w:t>
      </w:r>
    </w:p>
    <w:p w:rsidR="00294F09" w:rsidRPr="00834989" w:rsidRDefault="00294F09" w:rsidP="00587B72">
      <w:pPr>
        <w:spacing w:after="0" w:line="360" w:lineRule="auto"/>
        <w:jc w:val="both"/>
        <w:rPr>
          <w:rFonts w:ascii="Times New Roman" w:hAnsi="Times New Roman" w:cs="Times New Roman"/>
          <w:sz w:val="24"/>
          <w:szCs w:val="24"/>
        </w:rPr>
      </w:pPr>
      <w:r w:rsidRPr="00834989">
        <w:rPr>
          <w:rFonts w:ascii="Times New Roman" w:hAnsi="Times New Roman" w:cs="Times New Roman"/>
          <w:sz w:val="24"/>
          <w:szCs w:val="24"/>
        </w:rPr>
        <w:t>mgr Marek Skociński</w:t>
      </w:r>
    </w:p>
    <w:p w:rsidR="00294F09" w:rsidRPr="00834989" w:rsidRDefault="00294F09" w:rsidP="00587B72">
      <w:pPr>
        <w:spacing w:after="0" w:line="360" w:lineRule="auto"/>
        <w:jc w:val="both"/>
        <w:rPr>
          <w:rFonts w:ascii="Times New Roman" w:hAnsi="Times New Roman" w:cs="Times New Roman"/>
          <w:b/>
          <w:sz w:val="24"/>
          <w:szCs w:val="24"/>
        </w:rPr>
      </w:pPr>
      <w:r w:rsidRPr="00834989">
        <w:rPr>
          <w:rFonts w:ascii="Times New Roman" w:hAnsi="Times New Roman" w:cs="Times New Roman"/>
          <w:sz w:val="24"/>
          <w:szCs w:val="24"/>
        </w:rPr>
        <w:t>Streszczenie rozprawy doktorskiej</w:t>
      </w:r>
      <w:r w:rsidR="00587B72">
        <w:rPr>
          <w:rFonts w:ascii="Times New Roman" w:hAnsi="Times New Roman" w:cs="Times New Roman"/>
          <w:sz w:val="24"/>
          <w:szCs w:val="24"/>
        </w:rPr>
        <w:t xml:space="preserve"> pod tytułem</w:t>
      </w:r>
      <w:r w:rsidRPr="00834989">
        <w:rPr>
          <w:rFonts w:ascii="Times New Roman" w:hAnsi="Times New Roman" w:cs="Times New Roman"/>
          <w:sz w:val="24"/>
          <w:szCs w:val="24"/>
        </w:rPr>
        <w:t xml:space="preserve">: </w:t>
      </w:r>
      <w:r w:rsidRPr="00834989">
        <w:rPr>
          <w:rFonts w:ascii="Times New Roman" w:hAnsi="Times New Roman" w:cs="Times New Roman"/>
          <w:b/>
          <w:sz w:val="24"/>
          <w:szCs w:val="24"/>
        </w:rPr>
        <w:t>Polityka bezpieczeństwa publicznego Rzeczypospolitej Polskiej w zakresie działalności centrów powiadamiania ratunkowego po 1990 roku.</w:t>
      </w:r>
    </w:p>
    <w:p w:rsidR="00294F09" w:rsidRPr="00834989" w:rsidRDefault="00294F09" w:rsidP="00587B72">
      <w:pPr>
        <w:spacing w:after="0" w:line="360" w:lineRule="auto"/>
        <w:jc w:val="both"/>
        <w:rPr>
          <w:rFonts w:ascii="Times New Roman" w:hAnsi="Times New Roman" w:cs="Times New Roman"/>
          <w:sz w:val="24"/>
          <w:szCs w:val="24"/>
        </w:rPr>
      </w:pPr>
      <w:r w:rsidRPr="00834989">
        <w:rPr>
          <w:rFonts w:ascii="Times New Roman" w:hAnsi="Times New Roman" w:cs="Times New Roman"/>
          <w:sz w:val="24"/>
          <w:szCs w:val="24"/>
        </w:rPr>
        <w:t>Promotor: dr hab. inż. Piotr Kwiatkiewicz prof. UAM</w:t>
      </w:r>
    </w:p>
    <w:p w:rsidR="00294F09" w:rsidRDefault="00294F09" w:rsidP="00587B72">
      <w:pPr>
        <w:spacing w:after="0" w:line="360" w:lineRule="auto"/>
        <w:jc w:val="both"/>
        <w:rPr>
          <w:rFonts w:ascii="Times New Roman" w:hAnsi="Times New Roman" w:cs="Times New Roman"/>
          <w:sz w:val="24"/>
          <w:szCs w:val="24"/>
        </w:rPr>
      </w:pPr>
      <w:r w:rsidRPr="00834989">
        <w:rPr>
          <w:rFonts w:ascii="Times New Roman" w:hAnsi="Times New Roman" w:cs="Times New Roman"/>
          <w:sz w:val="24"/>
          <w:szCs w:val="24"/>
        </w:rPr>
        <w:t xml:space="preserve">Autor: mgr Marek Skociński </w:t>
      </w:r>
    </w:p>
    <w:p w:rsidR="00834989" w:rsidRPr="00834989" w:rsidRDefault="00834989" w:rsidP="00587B72">
      <w:pPr>
        <w:spacing w:after="0" w:line="276" w:lineRule="auto"/>
        <w:ind w:firstLine="708"/>
        <w:jc w:val="both"/>
        <w:rPr>
          <w:rFonts w:ascii="Times New Roman" w:hAnsi="Times New Roman" w:cs="Times New Roman"/>
          <w:sz w:val="24"/>
          <w:szCs w:val="24"/>
        </w:rPr>
      </w:pPr>
    </w:p>
    <w:p w:rsidR="002F247F" w:rsidRPr="00834989" w:rsidRDefault="00294F09"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Rozprawa doktorska zatytułowana:</w:t>
      </w:r>
      <w:r w:rsidR="002F247F" w:rsidRPr="00834989">
        <w:rPr>
          <w:rFonts w:ascii="Times New Roman" w:hAnsi="Times New Roman" w:cs="Times New Roman"/>
          <w:sz w:val="24"/>
          <w:szCs w:val="24"/>
        </w:rPr>
        <w:t xml:space="preserve"> „Polityka bezpieczeństwa publicznego Rzeczypospolitej Polskiej w zakresie działalności centrów powiadamiania ratunkowego </w:t>
      </w:r>
      <w:r w:rsidR="00C8325B">
        <w:rPr>
          <w:rFonts w:ascii="Times New Roman" w:hAnsi="Times New Roman" w:cs="Times New Roman"/>
          <w:sz w:val="24"/>
          <w:szCs w:val="24"/>
        </w:rPr>
        <w:br/>
      </w:r>
      <w:r w:rsidR="002F247F" w:rsidRPr="00834989">
        <w:rPr>
          <w:rFonts w:ascii="Times New Roman" w:hAnsi="Times New Roman" w:cs="Times New Roman"/>
          <w:sz w:val="24"/>
          <w:szCs w:val="24"/>
        </w:rPr>
        <w:t xml:space="preserve">po 1990 roku”, powstała w celu zdiagnozowania, zbadania, poddania analizie działań politycznych, legislacyjnych oraz funkcjonowania administracji państwowej w zakresie bezpieczeństwa obywateli, realizowanych poprzez stworzenie i funkcjonowanie systemu powiadamiania ratunkowego. Działania, związane z budowaniem i kierunkowaniem polityki bezpieczeństwa wewnętrznego oraz porządku publicznego, mają charakter nie tylko decyzji politycznych, ale także władczych. Realizacja działań politycznych jest niemożliwa </w:t>
      </w:r>
      <w:r w:rsidR="00587B72">
        <w:rPr>
          <w:rFonts w:ascii="Times New Roman" w:hAnsi="Times New Roman" w:cs="Times New Roman"/>
          <w:sz w:val="24"/>
          <w:szCs w:val="24"/>
        </w:rPr>
        <w:br/>
      </w:r>
      <w:r w:rsidR="002F247F" w:rsidRPr="00834989">
        <w:rPr>
          <w:rFonts w:ascii="Times New Roman" w:hAnsi="Times New Roman" w:cs="Times New Roman"/>
          <w:sz w:val="24"/>
          <w:szCs w:val="24"/>
        </w:rPr>
        <w:t xml:space="preserve">w administracji publicznej, bez zdefiniowania i kodyfikacji na drodze legislacji, kształtowanej przez powołane do tego organy państwa demokratycznego. </w:t>
      </w:r>
    </w:p>
    <w:p w:rsidR="00587B72" w:rsidRDefault="0066649C"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Autor podejmuje skąpo opisany w literaturze aspekt funkcjonowania służb</w:t>
      </w:r>
      <w:r w:rsidR="00294F09" w:rsidRPr="00834989">
        <w:rPr>
          <w:rFonts w:ascii="Times New Roman" w:hAnsi="Times New Roman" w:cs="Times New Roman"/>
          <w:sz w:val="24"/>
          <w:szCs w:val="24"/>
        </w:rPr>
        <w:t xml:space="preserve"> emergencyjnych</w:t>
      </w:r>
      <w:r w:rsidRPr="00834989">
        <w:rPr>
          <w:rFonts w:ascii="Times New Roman" w:hAnsi="Times New Roman" w:cs="Times New Roman"/>
          <w:sz w:val="24"/>
          <w:szCs w:val="24"/>
        </w:rPr>
        <w:t xml:space="preserve">, w optyce powiadamiania służb ratunkowych o zdarzeniach, najpierw analizując historyczną sytuację na przestrzeni lat, poprzez kroki milowe określone jako przyjęcie przez rząd „koncepcji numeru 112” w 2007 roku, oraz utworzenia systemu powiadamiania ratunkowego w 2013 roku, realizowanego po uchwaleniu i wejściu w życie ustawy o systemie powiadamiania ratunkowego, aż do czasu schyłku stanu zagrożenia epidemicznego, po pandemii Covid-19, której wystąpienie miało istotny wpływ </w:t>
      </w:r>
      <w:r w:rsidR="00C8325B">
        <w:rPr>
          <w:rFonts w:ascii="Times New Roman" w:hAnsi="Times New Roman" w:cs="Times New Roman"/>
          <w:sz w:val="24"/>
          <w:szCs w:val="24"/>
        </w:rPr>
        <w:br/>
      </w:r>
      <w:r w:rsidRPr="00834989">
        <w:rPr>
          <w:rFonts w:ascii="Times New Roman" w:hAnsi="Times New Roman" w:cs="Times New Roman"/>
          <w:sz w:val="24"/>
          <w:szCs w:val="24"/>
        </w:rPr>
        <w:t>na funkcjonowanie systemu powiadamiania ratunkowego w Polsce, wraz ze zbadaniem problemów i wyzwań na przyszłość, które wymagają podejmowania dalszych decyzji politycznych, a co za tym idzie, dalszych prac legislacyjnych, dla udoskonalania działania tegoż systemu. Autor</w:t>
      </w:r>
      <w:r w:rsidR="00587B72">
        <w:rPr>
          <w:rFonts w:ascii="Times New Roman" w:hAnsi="Times New Roman" w:cs="Times New Roman"/>
          <w:sz w:val="24"/>
          <w:szCs w:val="24"/>
        </w:rPr>
        <w:t>,</w:t>
      </w:r>
      <w:r w:rsidRPr="00834989">
        <w:rPr>
          <w:rFonts w:ascii="Times New Roman" w:hAnsi="Times New Roman" w:cs="Times New Roman"/>
          <w:sz w:val="24"/>
          <w:szCs w:val="24"/>
        </w:rPr>
        <w:t xml:space="preserve"> dokonawszy analiz decyzji politycznych, realizowan</w:t>
      </w:r>
      <w:r w:rsidR="00B80037" w:rsidRPr="00834989">
        <w:rPr>
          <w:rFonts w:ascii="Times New Roman" w:hAnsi="Times New Roman" w:cs="Times New Roman"/>
          <w:sz w:val="24"/>
          <w:szCs w:val="24"/>
        </w:rPr>
        <w:t>ych</w:t>
      </w:r>
      <w:r w:rsidRPr="00834989">
        <w:rPr>
          <w:rFonts w:ascii="Times New Roman" w:hAnsi="Times New Roman" w:cs="Times New Roman"/>
          <w:sz w:val="24"/>
          <w:szCs w:val="24"/>
        </w:rPr>
        <w:t xml:space="preserve"> przez administrację publiczną, formułuje wnioski i podsumowania. Ponadto podejmowana analiza projektów ustaw, rozporządzeń i zamierzeń dotyczących wydawanych komunikatów MSWiA, analizuje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i podsumowuje kierunek zmian woli kreowanej przez decydentów politycznych. </w:t>
      </w:r>
    </w:p>
    <w:p w:rsid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Przedmiotem dociekań badawczych, sformułowanym na wstępie rozprawy, jest skuteczność realizowanych zadań na rzecz kształtowania bezpieczeństwa obywateli przez instytucje odpowiedzialne za bezpieczeństwo publiczne oraz dostępność, szybkość </w:t>
      </w:r>
      <w:r w:rsidR="00587B72">
        <w:rPr>
          <w:rFonts w:ascii="Times New Roman" w:hAnsi="Times New Roman" w:cs="Times New Roman"/>
          <w:sz w:val="24"/>
          <w:szCs w:val="24"/>
        </w:rPr>
        <w:br/>
      </w:r>
      <w:r w:rsidRPr="00834989">
        <w:rPr>
          <w:rFonts w:ascii="Times New Roman" w:hAnsi="Times New Roman" w:cs="Times New Roman"/>
          <w:sz w:val="24"/>
          <w:szCs w:val="24"/>
        </w:rPr>
        <w:t>i skuteczność działania systemu powiadamiania ratunkowego.</w:t>
      </w:r>
    </w:p>
    <w:p w:rsidR="00BB32EE" w:rsidRPr="00834989" w:rsidRDefault="00BB32EE" w:rsidP="00587B72">
      <w:pPr>
        <w:spacing w:after="0" w:line="276" w:lineRule="auto"/>
        <w:ind w:firstLine="709"/>
        <w:jc w:val="both"/>
        <w:rPr>
          <w:rFonts w:ascii="Times New Roman" w:hAnsi="Times New Roman" w:cs="Times New Roman"/>
          <w:sz w:val="24"/>
          <w:szCs w:val="24"/>
        </w:rPr>
      </w:pPr>
      <w:r w:rsidRPr="00834989">
        <w:rPr>
          <w:rFonts w:ascii="Times New Roman" w:hAnsi="Times New Roman" w:cs="Times New Roman"/>
          <w:sz w:val="24"/>
          <w:szCs w:val="24"/>
        </w:rPr>
        <w:t>W celu prawidłowego funkcjonowania służb ratowniczych oraz w celu możliwie najsprawniejszego zawiadamiania służb o zaistniałych zdarzeniach, wprowadzono, wzorem krajów Unii Europejskiej, jednolity numer alarmowy 112. Zbada</w:t>
      </w:r>
      <w:r w:rsidR="00B80037" w:rsidRPr="00834989">
        <w:rPr>
          <w:rFonts w:ascii="Times New Roman" w:hAnsi="Times New Roman" w:cs="Times New Roman"/>
          <w:sz w:val="24"/>
          <w:szCs w:val="24"/>
        </w:rPr>
        <w:t>no</w:t>
      </w:r>
      <w:r w:rsidRPr="00834989">
        <w:rPr>
          <w:rFonts w:ascii="Times New Roman" w:hAnsi="Times New Roman" w:cs="Times New Roman"/>
          <w:sz w:val="24"/>
          <w:szCs w:val="24"/>
        </w:rPr>
        <w:t xml:space="preserve"> zatem relację pomiędzy decyzjami politycznymi, dotyczącymi polityki bezpieczeństwa publicznego a sposobem </w:t>
      </w:r>
      <w:r w:rsidRPr="00834989">
        <w:rPr>
          <w:rFonts w:ascii="Times New Roman" w:hAnsi="Times New Roman" w:cs="Times New Roman"/>
          <w:sz w:val="24"/>
          <w:szCs w:val="24"/>
        </w:rPr>
        <w:lastRenderedPageBreak/>
        <w:t>organizacji pracy systemu powiadamiania ratunkowego, którego podstawowym zadaniem jest obsługa połączeń alarmowych kierowanych na numer 112.</w:t>
      </w:r>
    </w:p>
    <w:p w:rsidR="00BB32EE"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Rozprawa zawiera także usystematyzowanie teoretycznej wiedzy z zakresu bezpieczeństwa obywateli w aspekcie wzywania pomocy służb ratunkowych oraz dane statystyczne, będące efektem przeprowadzonych dociekań nad</w:t>
      </w:r>
      <w:r w:rsidR="00587B72">
        <w:rPr>
          <w:rFonts w:ascii="Times New Roman" w:hAnsi="Times New Roman" w:cs="Times New Roman"/>
          <w:sz w:val="24"/>
          <w:szCs w:val="24"/>
        </w:rPr>
        <w:t xml:space="preserve"> funkcjonowaniem</w:t>
      </w:r>
      <w:r w:rsidRPr="00834989">
        <w:rPr>
          <w:rFonts w:ascii="Times New Roman" w:hAnsi="Times New Roman" w:cs="Times New Roman"/>
          <w:sz w:val="24"/>
          <w:szCs w:val="24"/>
        </w:rPr>
        <w:t xml:space="preserve"> centrów powiadamiana ratunkowego.</w:t>
      </w:r>
    </w:p>
    <w:p w:rsidR="00BB32EE"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W rozprawie głównym celem badań jest ustalenie znaczenia Centrów Powiadamiania Ratunkowego w polityce wewnętrznej państwa oraz zaproponowanie koncepcji modelu </w:t>
      </w:r>
      <w:r w:rsidR="00C8325B">
        <w:rPr>
          <w:rFonts w:ascii="Times New Roman" w:hAnsi="Times New Roman" w:cs="Times New Roman"/>
          <w:sz w:val="24"/>
          <w:szCs w:val="24"/>
        </w:rPr>
        <w:br/>
      </w:r>
      <w:r w:rsidRPr="00834989">
        <w:rPr>
          <w:rFonts w:ascii="Times New Roman" w:hAnsi="Times New Roman" w:cs="Times New Roman"/>
          <w:sz w:val="24"/>
          <w:szCs w:val="24"/>
        </w:rPr>
        <w:t>jego funkcjonowania w systemie politycznym.</w:t>
      </w:r>
      <w:r w:rsidR="00B80037" w:rsidRPr="00834989">
        <w:rPr>
          <w:rFonts w:ascii="Times New Roman" w:hAnsi="Times New Roman" w:cs="Times New Roman"/>
          <w:sz w:val="24"/>
          <w:szCs w:val="24"/>
        </w:rPr>
        <w:t xml:space="preserve"> Ponadto</w:t>
      </w:r>
      <w:r w:rsidR="00587B72">
        <w:rPr>
          <w:rFonts w:ascii="Times New Roman" w:hAnsi="Times New Roman" w:cs="Times New Roman"/>
          <w:sz w:val="24"/>
          <w:szCs w:val="24"/>
        </w:rPr>
        <w:t>,</w:t>
      </w:r>
      <w:r w:rsidR="00B80037" w:rsidRPr="00834989">
        <w:rPr>
          <w:rFonts w:ascii="Times New Roman" w:hAnsi="Times New Roman" w:cs="Times New Roman"/>
          <w:sz w:val="24"/>
          <w:szCs w:val="24"/>
        </w:rPr>
        <w:t xml:space="preserve"> zadanie prac badawczych w pracy kształtuje się następująco:</w:t>
      </w:r>
    </w:p>
    <w:p w:rsidR="00BB32EE" w:rsidRPr="00834989" w:rsidRDefault="00BB32EE" w:rsidP="00587B72">
      <w:pPr>
        <w:pStyle w:val="Akapitzlist"/>
        <w:numPr>
          <w:ilvl w:val="0"/>
          <w:numId w:val="1"/>
        </w:numPr>
        <w:spacing w:after="0" w:line="276" w:lineRule="auto"/>
        <w:jc w:val="both"/>
        <w:rPr>
          <w:rFonts w:cs="Times New Roman"/>
          <w:szCs w:val="24"/>
        </w:rPr>
      </w:pPr>
      <w:r w:rsidRPr="00834989">
        <w:rPr>
          <w:rFonts w:cs="Times New Roman"/>
          <w:szCs w:val="24"/>
        </w:rPr>
        <w:t>Identyfikacja czynników określających politykę bezpieczeństwa wewnętrznego realizowanych przez państwo.</w:t>
      </w:r>
    </w:p>
    <w:p w:rsidR="00BB32EE" w:rsidRPr="00834989" w:rsidRDefault="00BB32EE" w:rsidP="00587B72">
      <w:pPr>
        <w:pStyle w:val="Akapitzlist"/>
        <w:numPr>
          <w:ilvl w:val="0"/>
          <w:numId w:val="1"/>
        </w:numPr>
        <w:spacing w:after="0" w:line="276" w:lineRule="auto"/>
        <w:jc w:val="both"/>
        <w:rPr>
          <w:rFonts w:cs="Times New Roman"/>
          <w:szCs w:val="24"/>
        </w:rPr>
      </w:pPr>
      <w:r w:rsidRPr="00834989">
        <w:rPr>
          <w:rFonts w:cs="Times New Roman"/>
          <w:szCs w:val="24"/>
        </w:rPr>
        <w:t xml:space="preserve">Ustalenie wpływu Polski na wytyczne faktorów określających rozwój służb ratunkowych. </w:t>
      </w:r>
    </w:p>
    <w:p w:rsidR="00BB32EE" w:rsidRPr="00834989" w:rsidRDefault="00BB32EE" w:rsidP="00587B72">
      <w:pPr>
        <w:pStyle w:val="Akapitzlist"/>
        <w:numPr>
          <w:ilvl w:val="0"/>
          <w:numId w:val="1"/>
        </w:numPr>
        <w:spacing w:after="0" w:line="276" w:lineRule="auto"/>
        <w:jc w:val="both"/>
        <w:rPr>
          <w:rFonts w:cs="Times New Roman"/>
          <w:szCs w:val="24"/>
        </w:rPr>
      </w:pPr>
      <w:r w:rsidRPr="00834989">
        <w:rPr>
          <w:rFonts w:cs="Times New Roman"/>
          <w:szCs w:val="24"/>
        </w:rPr>
        <w:t>Analiza działań ekip rządowych</w:t>
      </w:r>
      <w:r w:rsidR="00587B72">
        <w:rPr>
          <w:rFonts w:cs="Times New Roman"/>
          <w:szCs w:val="24"/>
        </w:rPr>
        <w:t>,</w:t>
      </w:r>
      <w:r w:rsidRPr="00834989">
        <w:rPr>
          <w:rFonts w:cs="Times New Roman"/>
          <w:szCs w:val="24"/>
        </w:rPr>
        <w:t xml:space="preserve"> dotyczących działań zapewniających bezpieczeństwo obywateli w aspekcie powiadamiania i działania służb ratunkowych.</w:t>
      </w:r>
    </w:p>
    <w:p w:rsidR="00BB32EE" w:rsidRPr="00834989" w:rsidRDefault="00BB32EE" w:rsidP="00587B72">
      <w:pPr>
        <w:pStyle w:val="Akapitzlist"/>
        <w:numPr>
          <w:ilvl w:val="0"/>
          <w:numId w:val="1"/>
        </w:numPr>
        <w:spacing w:after="0" w:line="276" w:lineRule="auto"/>
        <w:jc w:val="both"/>
        <w:rPr>
          <w:rFonts w:cs="Times New Roman"/>
          <w:szCs w:val="24"/>
        </w:rPr>
      </w:pPr>
      <w:r w:rsidRPr="00834989">
        <w:rPr>
          <w:rFonts w:cs="Times New Roman"/>
          <w:szCs w:val="24"/>
        </w:rPr>
        <w:t>Ustalenie relacji między zakresem kompetencji danych instytucji a interesem politycznym powołujących je organów (kryteria).</w:t>
      </w:r>
    </w:p>
    <w:p w:rsidR="00BB32EE" w:rsidRPr="00834989" w:rsidRDefault="00BB32EE" w:rsidP="00587B72">
      <w:pPr>
        <w:pStyle w:val="Akapitzlist"/>
        <w:numPr>
          <w:ilvl w:val="0"/>
          <w:numId w:val="1"/>
        </w:numPr>
        <w:spacing w:after="0" w:line="276" w:lineRule="auto"/>
        <w:jc w:val="both"/>
        <w:rPr>
          <w:rFonts w:cs="Times New Roman"/>
          <w:szCs w:val="24"/>
        </w:rPr>
      </w:pPr>
      <w:r w:rsidRPr="00834989">
        <w:rPr>
          <w:rFonts w:cs="Times New Roman"/>
          <w:szCs w:val="24"/>
        </w:rPr>
        <w:t xml:space="preserve">Identyfikacja kryteriów koniecznych do funkcjonowania i administracji Centrów Powiadamiania Ratunkowego. </w:t>
      </w:r>
    </w:p>
    <w:p w:rsidR="00BB32EE"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Przedstawiona hipoteza badawcza skupia się na koncepcji i funkcjonowaniu Centrów Powiadamiania Ratunkowego, która jest ściśle wpisana w system polityczny państwa </w:t>
      </w:r>
      <w:r w:rsidRPr="00834989">
        <w:rPr>
          <w:rFonts w:ascii="Times New Roman" w:hAnsi="Times New Roman" w:cs="Times New Roman"/>
          <w:sz w:val="24"/>
          <w:szCs w:val="24"/>
        </w:rPr>
        <w:br/>
        <w:t>i ewoluuje wraz z procesem jego zmian.</w:t>
      </w:r>
    </w:p>
    <w:p w:rsidR="00BB32EE" w:rsidRPr="00834989" w:rsidRDefault="00BB32EE" w:rsidP="00587B72">
      <w:pPr>
        <w:spacing w:after="0" w:line="276" w:lineRule="auto"/>
        <w:ind w:firstLine="708"/>
        <w:jc w:val="both"/>
        <w:rPr>
          <w:rFonts w:ascii="Times New Roman" w:eastAsia="Times New Roman" w:hAnsi="Times New Roman" w:cs="Times New Roman"/>
          <w:sz w:val="24"/>
          <w:szCs w:val="24"/>
          <w:lang w:eastAsia="pl-PL"/>
        </w:rPr>
      </w:pPr>
      <w:r w:rsidRPr="00834989">
        <w:rPr>
          <w:rFonts w:ascii="Times New Roman" w:hAnsi="Times New Roman" w:cs="Times New Roman"/>
          <w:sz w:val="24"/>
          <w:szCs w:val="24"/>
        </w:rPr>
        <w:t>W pracy przyjęto perspektywę instytucjonalizmu historycznego, w którym znaczącą pozycję zajmuje analiza procesów historycznych. Wśród metod badawczych</w:t>
      </w:r>
      <w:r w:rsidR="00587B72">
        <w:rPr>
          <w:rFonts w:ascii="Times New Roman" w:hAnsi="Times New Roman" w:cs="Times New Roman"/>
          <w:sz w:val="24"/>
          <w:szCs w:val="24"/>
        </w:rPr>
        <w:t>,</w:t>
      </w:r>
      <w:r w:rsidRPr="00834989">
        <w:rPr>
          <w:rFonts w:ascii="Times New Roman" w:hAnsi="Times New Roman" w:cs="Times New Roman"/>
          <w:sz w:val="24"/>
          <w:szCs w:val="24"/>
        </w:rPr>
        <w:t xml:space="preserve"> wykorzystanych przy tworzeniu pracy</w:t>
      </w:r>
      <w:r w:rsidR="00587B72">
        <w:rPr>
          <w:rFonts w:ascii="Times New Roman" w:hAnsi="Times New Roman" w:cs="Times New Roman"/>
          <w:sz w:val="24"/>
          <w:szCs w:val="24"/>
        </w:rPr>
        <w:t>,</w:t>
      </w:r>
      <w:r w:rsidRPr="00834989">
        <w:rPr>
          <w:rFonts w:ascii="Times New Roman" w:hAnsi="Times New Roman" w:cs="Times New Roman"/>
          <w:sz w:val="24"/>
          <w:szCs w:val="24"/>
        </w:rPr>
        <w:t xml:space="preserve"> znalazły się również: metoda statystyczna, analiza ilościowa, analiza instytucjonalno-prawna, metoda porównawcza, metoda decyzyjna a także metoda progresywna i retrogresywna. </w:t>
      </w:r>
    </w:p>
    <w:p w:rsidR="00BB32EE"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Struktura pracy podporządkowana została stopniowemu zrealizowaniu celu rozprawy. Autor dopasował układ pracy do osiągnięcia celów rozprawy i rozwiązania postawionych problemów badawczych. Rozprawa składa się ze wstępu, pięciu rozdziałów, zakończenia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i bibliografii. W celu zebrania poszczególnych aktów prawa i badaniu historii jego zmian, analizując jednocześnie kształtowanie się wizji podejścia do przyjmowania zgłoszeń alarmowych, autor skupia się na podstawach prawnych funkcjonowania centrów powiadamiania ratunkowego i numeru alarmowego 112, dokonując analizy aktów prawnych wydanych w przedmiotowej dziedzinie oraz źródeł mogących wspomóc analizę wprowadzanych zmian – szczególnie bada bieżące komentarze dokonywanych zmian podstaw prawnych funkcjonowania systemu powiadamiania ratunkowego w Polsce. Ze względu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na brak tematycznych monografii oraz nieliczne artykuły naukowe czy opracowania, </w:t>
      </w:r>
      <w:r w:rsidR="00587B72">
        <w:rPr>
          <w:rFonts w:ascii="Times New Roman" w:hAnsi="Times New Roman" w:cs="Times New Roman"/>
          <w:sz w:val="24"/>
          <w:szCs w:val="24"/>
        </w:rPr>
        <w:br/>
      </w:r>
      <w:r w:rsidRPr="00834989">
        <w:rPr>
          <w:rFonts w:ascii="Times New Roman" w:hAnsi="Times New Roman" w:cs="Times New Roman"/>
          <w:sz w:val="24"/>
          <w:szCs w:val="24"/>
        </w:rPr>
        <w:t>głównymi źródłami stały się akty prawa wraz z przeprowadzaną analizą procesu legislacyjnego przywołanych zmian prawa, dokumenty źródłowe</w:t>
      </w:r>
      <w:r w:rsidR="00587B72">
        <w:rPr>
          <w:rFonts w:ascii="Times New Roman" w:hAnsi="Times New Roman" w:cs="Times New Roman"/>
          <w:sz w:val="24"/>
          <w:szCs w:val="24"/>
        </w:rPr>
        <w:t>,</w:t>
      </w:r>
      <w:r w:rsidRPr="00834989">
        <w:rPr>
          <w:rFonts w:ascii="Times New Roman" w:hAnsi="Times New Roman" w:cs="Times New Roman"/>
          <w:sz w:val="24"/>
          <w:szCs w:val="24"/>
        </w:rPr>
        <w:t xml:space="preserve"> jak porozumienia czy pisma i dokumenty administracyjne, dotyczące tworzenia oraz funkcjonowania centrów powiadamiania ratunkowego.</w:t>
      </w:r>
    </w:p>
    <w:p w:rsidR="00BB32EE" w:rsidRPr="00834989" w:rsidRDefault="00587B72" w:rsidP="00587B7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w:t>
      </w:r>
      <w:r w:rsidR="00834989" w:rsidRPr="00834989">
        <w:rPr>
          <w:rFonts w:ascii="Times New Roman" w:hAnsi="Times New Roman" w:cs="Times New Roman"/>
          <w:sz w:val="24"/>
          <w:szCs w:val="24"/>
        </w:rPr>
        <w:t xml:space="preserve">ierwszy rozdział </w:t>
      </w:r>
      <w:r w:rsidR="00BB32EE" w:rsidRPr="00834989">
        <w:rPr>
          <w:rFonts w:ascii="Times New Roman" w:hAnsi="Times New Roman" w:cs="Times New Roman"/>
          <w:sz w:val="24"/>
          <w:szCs w:val="24"/>
        </w:rPr>
        <w:t xml:space="preserve">rozprawy autor poświęca analizowaniu sytuacji historycznej. Wskazano na podstawowe aspekty powiadamiania służb ratunkowych oraz problematykę związaną z brakiem rozwiązań systemowych w latach 1989-2003. W toku analiz, wyodrębniona została rola prawodawstwa Unii Europejskiej oraz wymogi związane z akcesją Polski do Wspólnoty w aspekcie powiadamiania ratunkowego oraz funkcjonowania numeru alarmowego 112. Ustalono również próby działań politycznych władz krajowych, mających </w:t>
      </w:r>
      <w:r>
        <w:rPr>
          <w:rFonts w:ascii="Times New Roman" w:hAnsi="Times New Roman" w:cs="Times New Roman"/>
          <w:sz w:val="24"/>
          <w:szCs w:val="24"/>
        </w:rPr>
        <w:br/>
      </w:r>
      <w:r w:rsidR="00BB32EE" w:rsidRPr="00834989">
        <w:rPr>
          <w:rFonts w:ascii="Times New Roman" w:hAnsi="Times New Roman" w:cs="Times New Roman"/>
          <w:sz w:val="24"/>
          <w:szCs w:val="24"/>
        </w:rPr>
        <w:t xml:space="preserve">na celu implementacje stawianych wymagań w tym zakresie. </w:t>
      </w:r>
    </w:p>
    <w:p w:rsidR="00BB32EE"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Drugi rozdział bazuje na badaniu i ustalaniu problemów, jakie pojawiały się w czasie prób dostosowania prawa krajowego i przyjmowanych rozwiązań. Najpierw opisano działania Unii Europejskiej względem Polski, które mobilizowały władze krajowe do podjęcia działań. Wskazano założenia podejmowanych prób doraźnych rozwiązań na podstawie zadań, jakie realizować mieli operatorzy numerów alarmowych według dwóch następujących po sobie </w:t>
      </w:r>
      <w:r w:rsidR="00587B72">
        <w:rPr>
          <w:rFonts w:ascii="Times New Roman" w:hAnsi="Times New Roman" w:cs="Times New Roman"/>
          <w:sz w:val="24"/>
          <w:szCs w:val="24"/>
        </w:rPr>
        <w:br/>
      </w:r>
      <w:r w:rsidRPr="00834989">
        <w:rPr>
          <w:rFonts w:ascii="Times New Roman" w:hAnsi="Times New Roman" w:cs="Times New Roman"/>
          <w:sz w:val="24"/>
          <w:szCs w:val="24"/>
        </w:rPr>
        <w:t>w latach 2009 i</w:t>
      </w:r>
      <w:r w:rsidR="00834989" w:rsidRPr="00834989">
        <w:rPr>
          <w:rFonts w:ascii="Times New Roman" w:hAnsi="Times New Roman" w:cs="Times New Roman"/>
          <w:sz w:val="24"/>
          <w:szCs w:val="24"/>
        </w:rPr>
        <w:t xml:space="preserve"> 2011 koncepcji systemowych.</w:t>
      </w:r>
    </w:p>
    <w:p w:rsidR="00BB32EE"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W rozdziale trzecim badana </w:t>
      </w:r>
      <w:r w:rsidR="00834989" w:rsidRPr="00834989">
        <w:rPr>
          <w:rFonts w:ascii="Times New Roman" w:hAnsi="Times New Roman" w:cs="Times New Roman"/>
          <w:sz w:val="24"/>
          <w:szCs w:val="24"/>
        </w:rPr>
        <w:t>została rzeczywistość prawna, następująca</w:t>
      </w:r>
      <w:r w:rsidRPr="00834989">
        <w:rPr>
          <w:rFonts w:ascii="Times New Roman" w:hAnsi="Times New Roman" w:cs="Times New Roman"/>
          <w:sz w:val="24"/>
          <w:szCs w:val="24"/>
        </w:rPr>
        <w:t xml:space="preserve"> wraz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z wprowadzeniem w życie ustawy z 22 listopada 2013 r. o systemie powiadamiania ratunkowego. Najpierw analizowano główne założenia przyjętego ustawowo rozwiązania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wraz z budową komplementarnego systemu powiadamiania ratunkowego, następnie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dociekania skupiały się na funkcjonowaniu systemu na podstawie opisanej ustawy oraz powołaniu do istnienia i funkcjonowania centrów powiadamiania ratunkowego, zgodnie </w:t>
      </w:r>
      <w:r w:rsidR="00587B72">
        <w:rPr>
          <w:rFonts w:ascii="Times New Roman" w:hAnsi="Times New Roman" w:cs="Times New Roman"/>
          <w:sz w:val="24"/>
          <w:szCs w:val="24"/>
        </w:rPr>
        <w:br/>
      </w:r>
      <w:r w:rsidRPr="00834989">
        <w:rPr>
          <w:rFonts w:ascii="Times New Roman" w:hAnsi="Times New Roman" w:cs="Times New Roman"/>
          <w:sz w:val="24"/>
          <w:szCs w:val="24"/>
        </w:rPr>
        <w:t>z aktualnymi przepisami prawa.</w:t>
      </w:r>
    </w:p>
    <w:p w:rsidR="00BB32EE"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W czwartym rozdziale autor skupia się na analizie polityki organizacji i realizacji szkoleń dla operatorów numerów alarmowych. Przeprowadzono dociekania, jak polityka szkoleń, a co za tym idzie, funkcjonowanie centrów, były realizowane na przestrzeni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lat. Analiza procesu szkoleń jest istotna dla realizacji celu rozprawy, ponieważ faktoruje, </w:t>
      </w:r>
      <w:r w:rsidR="00587B72">
        <w:rPr>
          <w:rFonts w:ascii="Times New Roman" w:hAnsi="Times New Roman" w:cs="Times New Roman"/>
          <w:sz w:val="24"/>
          <w:szCs w:val="24"/>
        </w:rPr>
        <w:br/>
      </w:r>
      <w:r w:rsidRPr="00834989">
        <w:rPr>
          <w:rFonts w:ascii="Times New Roman" w:hAnsi="Times New Roman" w:cs="Times New Roman"/>
          <w:sz w:val="24"/>
          <w:szCs w:val="24"/>
        </w:rPr>
        <w:t>jakie kierunki rozwojowe były i są ważne dla funkcjonowania systemu powiadamiania ratunkowego, analizując, jakie decyzje polityczne przekładają się na funkcjonowanie i rozwój systemu.</w:t>
      </w:r>
    </w:p>
    <w:p w:rsidR="00587B72" w:rsidRPr="00834989" w:rsidRDefault="00BB32EE" w:rsidP="00587B72">
      <w:pPr>
        <w:spacing w:after="0" w:line="276" w:lineRule="auto"/>
        <w:ind w:firstLine="708"/>
        <w:jc w:val="both"/>
        <w:rPr>
          <w:rFonts w:ascii="Times New Roman" w:hAnsi="Times New Roman" w:cs="Times New Roman"/>
          <w:sz w:val="24"/>
          <w:szCs w:val="24"/>
        </w:rPr>
      </w:pPr>
      <w:r w:rsidRPr="00834989">
        <w:rPr>
          <w:rFonts w:ascii="Times New Roman" w:hAnsi="Times New Roman" w:cs="Times New Roman"/>
          <w:sz w:val="24"/>
          <w:szCs w:val="24"/>
        </w:rPr>
        <w:t xml:space="preserve">Rozdział piąty skupia się w obszarze dociekań na funkcjonowaniu centrów powiadamiania ratunkowego po 2020 roku. Poddano analizie wpływ zmian prawa wynikających z wprowadzenia stanu epidemii i stanu zagrożenia epidemicznego na funkcjonowanie systemu powiadamiania ratunkowego. Dalej autor rozprawy poddaje analizie propozycje zmian prawa po 2022 roku, których rozstrzygnięcie będzie miało wpływ na dalszą realizację polityki bezpieczeństwa publicznego, realizowaną przez funkcjonowanie centrów powiadamiania ratunkowego. W rozdziale poświęconym planom rozwojowym, ujęto również analizę zadań związanych z polityką informacyjną, taką jak zadania edukacyjne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i popularyzujące wiedzę o systemie powiadamiania ratunkowego i numerze alarmowym </w:t>
      </w:r>
      <w:r w:rsidR="00587B72">
        <w:rPr>
          <w:rFonts w:ascii="Times New Roman" w:hAnsi="Times New Roman" w:cs="Times New Roman"/>
          <w:sz w:val="24"/>
          <w:szCs w:val="24"/>
        </w:rPr>
        <w:br/>
      </w:r>
      <w:r w:rsidRPr="00834989">
        <w:rPr>
          <w:rFonts w:ascii="Times New Roman" w:hAnsi="Times New Roman" w:cs="Times New Roman"/>
          <w:sz w:val="24"/>
          <w:szCs w:val="24"/>
        </w:rPr>
        <w:t xml:space="preserve">112. Zbadana została także perspektywa rozwoju oraz wyzwania, jakie stoją przed systemem, a które tak jak u początku systemu w Polsce, niejako wymuszonego przez prawodawstwo </w:t>
      </w:r>
      <w:r w:rsidR="00C8325B">
        <w:rPr>
          <w:rFonts w:ascii="Times New Roman" w:hAnsi="Times New Roman" w:cs="Times New Roman"/>
          <w:sz w:val="24"/>
          <w:szCs w:val="24"/>
        </w:rPr>
        <w:br/>
      </w:r>
      <w:r w:rsidRPr="00834989">
        <w:rPr>
          <w:rFonts w:ascii="Times New Roman" w:hAnsi="Times New Roman" w:cs="Times New Roman"/>
          <w:sz w:val="24"/>
          <w:szCs w:val="24"/>
        </w:rPr>
        <w:t>Unii Europejskiej, tak i teraz stawiają wymagania i wskazują kierunki dalszego rozwoju polityki bezpieczeństwa publicznego Rzeczypospolitej Polskiej w zakresie działalności centrów powiadamiania ratunkowego.</w:t>
      </w:r>
    </w:p>
    <w:sectPr w:rsidR="00587B72" w:rsidRPr="008349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D8" w:rsidRDefault="001D0CD8" w:rsidP="00BB32EE">
      <w:pPr>
        <w:spacing w:after="0" w:line="240" w:lineRule="auto"/>
      </w:pPr>
      <w:r>
        <w:separator/>
      </w:r>
    </w:p>
  </w:endnote>
  <w:endnote w:type="continuationSeparator" w:id="0">
    <w:p w:rsidR="001D0CD8" w:rsidRDefault="001D0CD8" w:rsidP="00BB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D8" w:rsidRDefault="001D0CD8" w:rsidP="00BB32EE">
      <w:pPr>
        <w:spacing w:after="0" w:line="240" w:lineRule="auto"/>
      </w:pPr>
      <w:r>
        <w:separator/>
      </w:r>
    </w:p>
  </w:footnote>
  <w:footnote w:type="continuationSeparator" w:id="0">
    <w:p w:rsidR="001D0CD8" w:rsidRDefault="001D0CD8" w:rsidP="00BB3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67414"/>
    <w:multiLevelType w:val="hybridMultilevel"/>
    <w:tmpl w:val="F85EF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9C"/>
    <w:rsid w:val="001D0CD8"/>
    <w:rsid w:val="00294F09"/>
    <w:rsid w:val="002F247F"/>
    <w:rsid w:val="0037153A"/>
    <w:rsid w:val="003A35FC"/>
    <w:rsid w:val="00587B72"/>
    <w:rsid w:val="0066649C"/>
    <w:rsid w:val="00834989"/>
    <w:rsid w:val="00B80037"/>
    <w:rsid w:val="00BB32EE"/>
    <w:rsid w:val="00C8325B"/>
    <w:rsid w:val="00E46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F3153-C312-41BF-81ED-84DFBFAE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2EE"/>
    <w:pPr>
      <w:spacing w:after="200" w:line="360" w:lineRule="auto"/>
      <w:ind w:left="720"/>
      <w:contextualSpacing/>
    </w:pPr>
    <w:rPr>
      <w:rFonts w:ascii="Times New Roman" w:hAnsi="Times New Roman"/>
      <w:sz w:val="24"/>
    </w:rPr>
  </w:style>
  <w:style w:type="character" w:styleId="Odwoanieprzypisudolnego">
    <w:name w:val="footnote reference"/>
    <w:basedOn w:val="Domylnaczcionkaakapitu"/>
    <w:uiPriority w:val="99"/>
    <w:semiHidden/>
    <w:unhideWhenUsed/>
    <w:rsid w:val="00BB32EE"/>
    <w:rPr>
      <w:vertAlign w:val="superscript"/>
    </w:rPr>
  </w:style>
  <w:style w:type="character" w:customStyle="1" w:styleId="h1">
    <w:name w:val="h1"/>
    <w:basedOn w:val="Domylnaczcionkaakapitu"/>
    <w:rsid w:val="00BB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7821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mskocinski</dc:creator>
  <cp:keywords/>
  <dc:description/>
  <cp:lastModifiedBy>Hewlett-Packard Company</cp:lastModifiedBy>
  <cp:revision>2</cp:revision>
  <dcterms:created xsi:type="dcterms:W3CDTF">2023-10-25T04:47:00Z</dcterms:created>
  <dcterms:modified xsi:type="dcterms:W3CDTF">2023-10-25T04:47:00Z</dcterms:modified>
</cp:coreProperties>
</file>